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66"/>
      </w:tblGrid>
      <w:tr w:rsidR="00F07F6B" w:rsidRPr="00F07F6B" w:rsidTr="00F07F6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66"/>
            </w:tblGrid>
            <w:tr w:rsidR="00F07F6B" w:rsidRPr="00F07F6B" w:rsidTr="00F07F6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240" w:type="dxa"/>
                      <w:right w:w="240" w:type="dxa"/>
                    </w:tblCellMar>
                    <w:tblLook w:val="04A0"/>
                  </w:tblPr>
                  <w:tblGrid>
                    <w:gridCol w:w="8766"/>
                  </w:tblGrid>
                  <w:tr w:rsidR="00F07F6B" w:rsidRPr="00F07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36" w:rightFromText="36" w:topFromText="100" w:bottomFromText="100" w:vertAnchor="text" w:tblpXSpec="right" w:tblpYSpec="center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35"/>
                        </w:tblGrid>
                        <w:tr w:rsidR="00F07F6B" w:rsidRPr="00F07F6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35"/>
                              </w:tblGrid>
                              <w:tr w:rsidR="00F07F6B" w:rsidRPr="00F07F6B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7F6B" w:rsidRPr="00F07F6B" w:rsidRDefault="00F07F6B" w:rsidP="00F07F6B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  <w:tr w:rsidR="00F07F6B" w:rsidRPr="00F07F6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7F6B" w:rsidRPr="00F07F6B" w:rsidRDefault="00F07F6B" w:rsidP="00F07F6B">
                                    <w:pPr>
                                      <w:spacing w:line="240" w:lineRule="auto"/>
                                      <w:jc w:val="right"/>
                                      <w:rPr>
                                        <w:rFonts w:ascii="Trebuchet MS" w:eastAsia="Times New Roman" w:hAnsi="Trebuchet MS" w:cs="Times New Roman"/>
                                        <w:color w:val="3C4858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B22222"/>
                                        <w:sz w:val="31"/>
                                        <w:szCs w:val="31"/>
                                        <w:lang w:eastAsia="it-IT"/>
                                      </w:rPr>
                                      <w:t>Newsletter n. 30</w:t>
                                    </w:r>
                                    <w:r w:rsidRPr="00F07F6B">
                                      <w:rPr>
                                        <w:rFonts w:ascii="Trebuchet MS" w:eastAsia="Times New Roman" w:hAnsi="Trebuchet MS" w:cs="Times New Roman"/>
                                        <w:color w:val="3C4858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F07F6B" w:rsidRPr="00F07F6B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7F6B" w:rsidRPr="00F07F6B" w:rsidRDefault="00F07F6B" w:rsidP="00F07F6B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7F6B" w:rsidRPr="00F07F6B" w:rsidRDefault="00F07F6B" w:rsidP="00F07F6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F07F6B" w:rsidRPr="00F07F6B" w:rsidRDefault="00F07F6B" w:rsidP="00F07F6B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F07F6B" w:rsidRPr="00F07F6B" w:rsidRDefault="00F07F6B" w:rsidP="00F07F6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07F6B" w:rsidRPr="00F07F6B" w:rsidRDefault="00F07F6B" w:rsidP="00F07F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7F6B" w:rsidRPr="00F07F6B" w:rsidTr="00F07F6B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66"/>
            </w:tblGrid>
            <w:tr w:rsidR="00F07F6B" w:rsidRPr="00F07F6B" w:rsidTr="00F07F6B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240" w:type="dxa"/>
                      <w:right w:w="240" w:type="dxa"/>
                    </w:tblCellMar>
                    <w:tblLook w:val="04A0"/>
                  </w:tblPr>
                  <w:tblGrid>
                    <w:gridCol w:w="8766"/>
                  </w:tblGrid>
                  <w:tr w:rsidR="00F07F6B" w:rsidRPr="00F07F6B">
                    <w:trPr>
                      <w:trHeight w:val="24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7F6B" w:rsidRPr="00F07F6B" w:rsidRDefault="00F07F6B" w:rsidP="00F07F6B">
                        <w:pPr>
                          <w:spacing w:line="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it-IT"/>
                          </w:rPr>
                        </w:pPr>
                        <w:bookmarkStart w:id="0" w:name="Layout_2"/>
                        <w:bookmarkEnd w:id="0"/>
                        <w:r w:rsidRPr="00F07F6B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F07F6B" w:rsidRPr="00F07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6"/>
                        </w:tblGrid>
                        <w:tr w:rsidR="00F07F6B" w:rsidRPr="00F07F6B">
                          <w:trPr>
                            <w:tblCellSpacing w:w="0" w:type="dxa"/>
                          </w:trPr>
                          <w:tc>
                            <w:tcPr>
                              <w:tcW w:w="66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66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6"/>
                              </w:tblGrid>
                              <w:tr w:rsidR="00F07F6B" w:rsidRPr="00F07F6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86"/>
                                    </w:tblGrid>
                                    <w:tr w:rsidR="00F07F6B" w:rsidRPr="00F07F6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286"/>
                                          </w:tblGrid>
                                          <w:tr w:rsidR="00F07F6B" w:rsidRPr="00F07F6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07F6B" w:rsidRPr="00F07F6B" w:rsidRDefault="00F07F6B" w:rsidP="00F07F6B">
                                                <w:pPr>
                                                  <w:spacing w:line="240" w:lineRule="auto"/>
                                                  <w:jc w:val="lef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5242560" cy="2621280"/>
                                                      <wp:effectExtent l="19050" t="0" r="0" b="0"/>
                                                      <wp:docPr id="1" name="Immagine 1" descr="C:\Users\Cinzia.ISPIANA\Desktop\DA STAMPARE\Visualizza mail 11 luglio_files\026d2f751d352e6c617c7fb289548225446a69353d75e2adc65d8708e186ea7a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C:\Users\Cinzia.ISPIANA\Desktop\DA STAMPARE\Visualizza mail 11 luglio_files\026d2f751d352e6c617c7fb289548225446a69353d75e2adc65d8708e186ea7a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242560" cy="26212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07F6B" w:rsidRPr="00F07F6B" w:rsidRDefault="00F07F6B" w:rsidP="00F07F6B">
                                          <w:pPr>
                                            <w:spacing w:line="240" w:lineRule="auto"/>
                                            <w:jc w:val="lef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07F6B" w:rsidRPr="00F07F6B" w:rsidRDefault="00F07F6B" w:rsidP="00F07F6B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  <w:tr w:rsidR="00F07F6B" w:rsidRPr="00F07F6B">
                                <w:trPr>
                                  <w:trHeight w:val="120"/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7F6B" w:rsidRPr="00F07F6B" w:rsidRDefault="00F07F6B" w:rsidP="00F07F6B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"/>
                                        <w:szCs w:val="2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"/>
                                        <w:szCs w:val="2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07F6B" w:rsidRPr="00F07F6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7F6B" w:rsidRPr="00F07F6B" w:rsidRDefault="00F07F6B" w:rsidP="00F07F6B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Arial Black" w:eastAsia="Times New Roman" w:hAnsi="Arial Black" w:cs="Times New Roman"/>
                                        <w:color w:val="3C4858"/>
                                        <w:sz w:val="29"/>
                                        <w:szCs w:val="29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t>CONCORSO STRAORDINARIO</w:t>
                                    </w:r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br/>
                                      <w:t xml:space="preserve">SCUOLA SECONDARIA </w:t>
                                    </w:r>
                                    <w:proofErr w:type="spellStart"/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t>DI</w:t>
                                    </w:r>
                                    <w:proofErr w:type="spellEnd"/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t>I°</w:t>
                                    </w:r>
                                    <w:proofErr w:type="spellEnd"/>
                                    <w:proofErr w:type="gramEnd"/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t>II°</w:t>
                                    </w:r>
                                    <w:proofErr w:type="spellEnd"/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t xml:space="preserve"> GRADO</w:t>
                                    </w:r>
                                    <w:r w:rsidRPr="00F07F6B">
                                      <w:rPr>
                                        <w:rFonts w:ascii="Arial Black" w:eastAsia="Times New Roman" w:hAnsi="Arial Black" w:cs="Times New Roman"/>
                                        <w:b/>
                                        <w:bCs/>
                                        <w:color w:val="B22222"/>
                                        <w:sz w:val="19"/>
                                        <w:szCs w:val="19"/>
                                        <w:lang w:eastAsia="it-IT"/>
                                      </w:rPr>
                                      <w:br/>
                                      <w:t>AI FINI DELL'IMMISSIONE IN RUOLO</w:t>
                                    </w:r>
                                  </w:p>
                                </w:tc>
                              </w:tr>
                              <w:tr w:rsidR="00F07F6B" w:rsidRPr="00F07F6B">
                                <w:trPr>
                                  <w:trHeight w:val="120"/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7F6B" w:rsidRPr="00F07F6B" w:rsidRDefault="00F07F6B" w:rsidP="00F07F6B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"/>
                                        <w:szCs w:val="2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"/>
                                        <w:szCs w:val="2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07F6B" w:rsidRPr="00F07F6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07F6B" w:rsidRPr="00F07F6B" w:rsidRDefault="00F07F6B" w:rsidP="00F07F6B">
                                    <w:pPr>
                                      <w:spacing w:line="252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lang w:eastAsia="it-IT"/>
                                      </w:rPr>
                                      <w:t xml:space="preserve">Sulla Gazzetta Ufficiale </w:t>
                                    </w:r>
                                    <w:proofErr w:type="spellStart"/>
                                    <w:proofErr w:type="gramStart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lang w:eastAsia="it-IT"/>
                                      </w:rPr>
                                      <w:t>nr</w:t>
                                    </w:r>
                                    <w:proofErr w:type="spell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lang w:eastAsia="it-IT"/>
                                      </w:rPr>
                                      <w:t>.</w:t>
                                    </w:r>
                                    <w:proofErr w:type="gram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lang w:eastAsia="it-IT"/>
                                      </w:rPr>
                                      <w:t xml:space="preserve"> 53 del 10/07/2020 è stato pubblicato il decreto </w:t>
                                    </w:r>
                                    <w:proofErr w:type="spellStart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lang w:eastAsia="it-IT"/>
                                      </w:rPr>
                                      <w:t>nr</w:t>
                                    </w:r>
                                    <w:proofErr w:type="spell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lang w:eastAsia="it-IT"/>
                                      </w:rPr>
                                      <w:t>. 783 con il quale vengono fissate altresì le date per la presentazione delle domande di partecipazione al concorso straordinario finalizzato all'immissione in ruolo per la scuola secondaria di I e II grado.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  <w:br/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17"/>
                                        <w:lang w:eastAsia="it-IT"/>
                                      </w:rPr>
                                      <w:t>Le domande di partecipazione potranno essere presentate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 xml:space="preserve"> 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9"/>
                                        <w:u w:val="single"/>
                                        <w:lang w:eastAsia="it-IT"/>
                                      </w:rPr>
                                      <w:t xml:space="preserve">dalle ore 9 dell'11 luglio alle </w:t>
                                    </w:r>
                                    <w:proofErr w:type="gramStart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9"/>
                                        <w:u w:val="single"/>
                                        <w:lang w:eastAsia="it-IT"/>
                                      </w:rPr>
                                      <w:t>ore</w:t>
                                    </w:r>
                                    <w:proofErr w:type="gram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9"/>
                                        <w:u w:val="single"/>
                                        <w:lang w:eastAsia="it-IT"/>
                                      </w:rPr>
                                      <w:t xml:space="preserve"> 23,59 del 10 agosto.</w:t>
                                    </w:r>
                                  </w:p>
                                  <w:p w:rsidR="00F07F6B" w:rsidRPr="00F07F6B" w:rsidRDefault="00F07F6B" w:rsidP="00F07F6B">
                                    <w:pPr>
                                      <w:spacing w:line="252" w:lineRule="atLeast"/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640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>Il contributo di partecipazione è fissato in 50 euro a procedura.</w:t>
                                    </w:r>
                                  </w:p>
                                  <w:p w:rsidR="00F07F6B" w:rsidRPr="00F07F6B" w:rsidRDefault="00F07F6B" w:rsidP="00F07F6B">
                                    <w:pPr>
                                      <w:spacing w:line="252" w:lineRule="atLeast"/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F07F6B" w:rsidRPr="00F07F6B" w:rsidRDefault="00F07F6B" w:rsidP="00F07F6B">
                                    <w:pPr>
                                      <w:spacing w:line="252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9"/>
                                        <w:lang w:eastAsia="it-IT"/>
                                      </w:rPr>
                                      <w:t>AVVISO</w:t>
                                    </w:r>
                                  </w:p>
                                  <w:p w:rsidR="00F07F6B" w:rsidRPr="00F07F6B" w:rsidRDefault="00F07F6B" w:rsidP="00F07F6B">
                                    <w:pPr>
                                      <w:spacing w:line="252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  <w:br/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 xml:space="preserve">La 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6400"/>
                                        <w:sz w:val="17"/>
                                        <w:lang w:eastAsia="it-IT"/>
                                      </w:rPr>
                                      <w:t>Cisl Scuola Bergamo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 xml:space="preserve"> ha predisposto la necessaria consulenza, 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>esclusivamente previo appuntamento e solo per gli iscritt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>i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>.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  <w:br/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>L'unica modalità per prenotare l'appuntamento è attraverso l'</w:t>
                                    </w:r>
                                    <w:proofErr w:type="spellStart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>appuntometro</w:t>
                                    </w:r>
                                    <w:proofErr w:type="spell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 xml:space="preserve"> presente nel nostro sito </w:t>
                                    </w:r>
                                    <w:hyperlink r:id="rId5" w:tgtFrame="_blank" w:history="1">
                                      <w:r w:rsidRPr="00F07F6B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17"/>
                                          <w:u w:val="single"/>
                                          <w:lang w:eastAsia="it-IT"/>
                                        </w:rPr>
                                        <w:t>http://www.bergamo.cislscuolalombardia.it/</w:t>
                                      </w:r>
                                    </w:hyperlink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7"/>
                                        <w:u w:val="single"/>
                                        <w:lang w:eastAsia="it-IT"/>
                                      </w:rPr>
                                      <w:t xml:space="preserve"> e solo sulla sede di Bergamo.</w:t>
                                    </w:r>
                                  </w:p>
                                  <w:p w:rsidR="00F07F6B" w:rsidRPr="00F07F6B" w:rsidRDefault="00F07F6B" w:rsidP="00F07F6B">
                                    <w:pPr>
                                      <w:spacing w:line="252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19"/>
                                        <w:u w:val="single"/>
                                        <w:lang w:eastAsia="it-IT"/>
                                      </w:rPr>
                                      <w:t>La consulenza è telefonica. Non recarsi in sindacato!</w:t>
                                    </w:r>
                                  </w:p>
                                  <w:p w:rsidR="00F07F6B" w:rsidRPr="00F07F6B" w:rsidRDefault="00F07F6B" w:rsidP="00F07F6B">
                                    <w:pPr>
                                      <w:spacing w:line="252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</w:pP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6400"/>
                                        <w:sz w:val="17"/>
                                        <w:lang w:eastAsia="it-IT"/>
                                      </w:rPr>
                                      <w:t xml:space="preserve">Il giorno e l’ora in cui avete fissato l’appuntamento sarete </w:t>
                                    </w:r>
                                    <w:proofErr w:type="gramStart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6400"/>
                                        <w:sz w:val="17"/>
                                        <w:lang w:eastAsia="it-IT"/>
                                      </w:rPr>
                                      <w:t>contattati</w:t>
                                    </w:r>
                                    <w:proofErr w:type="gram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6400"/>
                                        <w:sz w:val="17"/>
                                        <w:lang w:eastAsia="it-IT"/>
                                      </w:rPr>
                                      <w:t xml:space="preserve"> da un nostro operatore che in contatto telefonico con voi, redigerà la vostra domanda.</w:t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17"/>
                                        <w:szCs w:val="17"/>
                                        <w:lang w:eastAsia="it-IT"/>
                                      </w:rPr>
                                      <w:br/>
                                    </w:r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 xml:space="preserve">Riusciremo a coprire tutte le esigenze degli iscritti, purché provvisti delle credenziali di </w:t>
                                    </w:r>
                                    <w:proofErr w:type="gramStart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>Istanze</w:t>
                                    </w:r>
                                    <w:proofErr w:type="gram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>Line</w:t>
                                    </w:r>
                                    <w:proofErr w:type="spellEnd"/>
                                    <w:r w:rsidRPr="00F07F6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lang w:eastAsia="it-IT"/>
                                      </w:rPr>
                                      <w:t xml:space="preserve"> (username – password)</w:t>
                                    </w:r>
                                  </w:p>
                                </w:tc>
                              </w:tr>
                            </w:tbl>
                            <w:p w:rsidR="00F07F6B" w:rsidRPr="00F07F6B" w:rsidRDefault="00F07F6B" w:rsidP="00F07F6B">
                              <w:pPr>
                                <w:spacing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F07F6B" w:rsidRPr="00F07F6B" w:rsidRDefault="00F07F6B" w:rsidP="00F07F6B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F07F6B" w:rsidRPr="00F07F6B" w:rsidRDefault="00F07F6B" w:rsidP="00F07F6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07F6B" w:rsidRPr="00F07F6B" w:rsidRDefault="00F07F6B" w:rsidP="00F07F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34D52" w:rsidRDefault="00F34D52"/>
    <w:sectPr w:rsidR="00F34D52" w:rsidSect="00F34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07F6B"/>
    <w:rsid w:val="00074D3D"/>
    <w:rsid w:val="000B142D"/>
    <w:rsid w:val="000D0855"/>
    <w:rsid w:val="000E41A0"/>
    <w:rsid w:val="00134811"/>
    <w:rsid w:val="0015363E"/>
    <w:rsid w:val="00181075"/>
    <w:rsid w:val="001D7F45"/>
    <w:rsid w:val="0025568B"/>
    <w:rsid w:val="003B6FC7"/>
    <w:rsid w:val="004050EF"/>
    <w:rsid w:val="00557176"/>
    <w:rsid w:val="00572C3F"/>
    <w:rsid w:val="005C6954"/>
    <w:rsid w:val="00892C7A"/>
    <w:rsid w:val="00A931EF"/>
    <w:rsid w:val="00AD5B4E"/>
    <w:rsid w:val="00BD005B"/>
    <w:rsid w:val="00BE5A20"/>
    <w:rsid w:val="00D8180C"/>
    <w:rsid w:val="00E7283A"/>
    <w:rsid w:val="00ED60E7"/>
    <w:rsid w:val="00F07F6B"/>
    <w:rsid w:val="00F34D52"/>
    <w:rsid w:val="00F7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7F6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7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gamo.cislscuolalombardi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2020-07-24T09:15:00Z</dcterms:created>
  <dcterms:modified xsi:type="dcterms:W3CDTF">2020-07-24T09:15:00Z</dcterms:modified>
</cp:coreProperties>
</file>